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domain is the tenant</w:t>
      </w:r>
    </w:p>
    <w:p>
      <w:r>
        <w:t>You sign into one domain. Skill groups, users, lists, prompts, scripts, and campaigns live there. Another domain does not inherit them.</w:t>
      </w:r>
    </w:p>
    <w:p>
      <w:r>
        <w:t>Five9 does not use CUCM-style partitions and calling search spaces. If you are coming from Unified Communications Manager, do not look for a partition table. Look for the domain, then skills and campaigns. That mapping is a teaching bridge, not a vendor migration wizard.</w:t>
      </w:r>
    </w:p>
    <w:p>
      <w:r>
        <w:t>State the domain boundary</w:t>
      </w:r>
    </w:p>
    <w:p>
      <w:r>
        <w:t>Say which roles join a skill group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Skill groups. vendor. https://documentation.five9.com/bundle/basic-admin/page/basic-admin/skill-groups/_ch-skill-groups.htm. last checked 2026-10.</w:t>
      </w:r>
    </w:p>
    <w:p>
      <w:r>
        <w:t>confirm. This lesson's CUCM comparison is a teaching map. Five9 does not publish it as a migration product. last checked 2026-10.</w:t>
      </w:r>
    </w:p>
  </w:body>
</w:document>
</file>