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</w:t>
      </w:r>
    </w:p>
    <w:p>
      <w:r>
        <w:t>The campaign admin tree includes time zone dialing options, and the default-settings topic says call analysis and voice detection level ship with vendor defaults. Changing defaults can raise a compliance warning. The same topic says US domains watch abandon rate for 30 rolling days and UK domains for 24 hours, and that a Five9 representative sets which kind of domain you have.</w:t>
      </w:r>
    </w:p>
    <w:p>
      <w:r>
        <w:t>This lab will not invent the legal calling window or the numeric abandon default. Both move, and both are jurisdiction-specific. Open the current page and the current rule before you widen either one.</w:t>
      </w:r>
    </w:p>
    <w:p>
      <w:r>
        <w:t>Name the 30-day and 24-hour windows</w:t>
      </w:r>
    </w:p>
    <w:p>
      <w:r>
        <w:t>Refuse to invent the legal dialing hours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