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</w:t>
      </w:r>
    </w:p>
    <w:p>
      <w:r>
        <w:t>IVA Transfer hands the call to a Studio task. Foreign Script jumps to another IVR script. Set DNC is the removal action. Third Party Transfer leaves your agents. Language switches prompt language. These are five different exits. A diagram that says 'send to bot' does not say which one.</w:t>
      </w:r>
    </w:p>
    <w:p>
      <w:r>
        <w:t>Digital IVA integration, in the March 2026 Studio article, needs a Studio API key with Build permission and a ChatBot task key pasted into the VCC side. Voice IVA Transfer is not automatically that digital article. Confirm which channel you are wiring.</w:t>
      </w:r>
    </w:p>
    <w:p>
      <w:r>
        <w:t>Name the exit module</w:t>
      </w:r>
    </w:p>
    <w:p>
      <w:r>
        <w:t>Keep digital IVA and voice IVA in their own notes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