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t>Transcription and assist are features you turn on</w:t>
      </w:r>
    </w:p>
    <w:p>
      <w:r>
        <w:t>The Engage page describes transcription, sentiment language, and Agent Assist suggestions on the desktop. GenAI Studio's page says it powers Five9 AI applications and initially focuses on Agent Assist summaries, with control over the output.</w:t>
      </w:r>
    </w:p>
    <w:p>
      <w:r>
        <w:t>None of those pages name a single model you can assume is the default in every domain. If a design says 'it uses model X,' mark that sentence uncertain until the domain's GenAI Studio screen says it.</w:t>
      </w:r>
    </w:p>
    <w:p>
      <w:r>
        <w:t>Keep Assist on the one screen</w:t>
      </w:r>
    </w:p>
    <w:p>
      <w:r>
        <w:t>Do not invent the model name</w:t>
      </w:r>
    </w:p>
    <w:p>
      <w:r>
        <w:t>Sources and go deeper</w:t>
      </w:r>
    </w:p>
    <w:p>
      <w:r>
        <w:t>Five9 Engage. vendor. https://www.five9.com/platform/self-service-and-engagement. last checked 2026-10.</w:t>
      </w:r>
    </w:p>
    <w:p>
      <w:r>
        <w:t>GenAI Studio. vendor. https://www.five9.com/products/capabilities/gen-ai-studio. last checked 2026-10.</w:t>
      </w:r>
    </w:p>
    <w:p>
      <w:r>
        <w:t>confirm. GenAI Studio is described as engine-agnostic. This lab does not name the default model for a new domain. last checked 2026-10.</w:t>
      </w:r>
    </w:p>
  </w:body>
</w:document>
</file>