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Digital text can be blocked</w:t>
      </w:r>
    </w:p>
    <w:p>
      <w:r>
        <w:t>The technical requirements say some antivirus software, naming Avast as an example, can stop chat, social, or email text from loading. Voice can continue. The symptom is a blank digital pane, not a busy DNIS.</w:t>
      </w:r>
    </w:p>
    <w:p>
      <w:r>
        <w:t>Efficiency Mode can also sleep a background tab and drop a live call. Digital and voice fail differently. Write the symptom before you pick the cause.</w:t>
      </w:r>
    </w:p>
    <w:p>
      <w:r>
        <w:t>Match blank text to antivirus</w:t>
      </w:r>
    </w:p>
    <w:p>
      <w:r>
        <w:t>Match dropped calls to power management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ITU-T E.164, international public telecommunication numbering. standard. https://www.itu.int/rec/T-REC-E.164. last checked 2026-10.</w:t>
      </w:r>
    </w:p>
  </w:body>
</w:document>
</file>