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</w:t>
      </w:r>
    </w:p>
    <w:p>
      <w:r>
        <w:t>A useful bot either finishes the job or returns the caller to a skill with the reason intact. IVA Transfer that dead-ends, or a Skill Transfer with no skill, is how you manufacture the Default queue.</w:t>
      </w:r>
    </w:p>
    <w:p>
      <w:r>
        <w:t>The Engage page describes sentiment and a handoff to a human with context. Treat that as the product story. The variables you actually pass are the ones you stored. A script variable the reporting side never enabled will not be in the historical report.</w:t>
      </w:r>
    </w:p>
    <w:p>
      <w:r>
        <w:t>Design both endings</w:t>
      </w:r>
    </w:p>
    <w:p>
      <w:r>
        <w:t>Pass a reason the agent can see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