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Three ways a call can enter</w:t>
      </w:r>
    </w:p>
    <w:p>
      <w:r>
        <w:t>The technical requirements describe three SIP stories. Five9 can provide ITSP trunks. Your ITSP can connect to Five9 session border controllers, and there is a checklist for that. Or a gateway you already own — Avaya, Cisco, or Asterisk — can talk to Five9 over the internet, a VPN, or Direct Connect.</w:t>
      </w:r>
    </w:p>
    <w:p>
      <w:r>
        <w:t>Cisco in that sentence is a gateway type, not a promise that a UCCX script will import. Pick the story before you draw a codec or a DNIS.</w:t>
      </w:r>
    </w:p>
    <w:p>
      <w:r>
        <w:t>Name the three SIP stories</w:t>
      </w:r>
    </w:p>
    <w:p>
      <w:r>
        <w:t>Refuse to treat a Cisco gateway as a UCCX import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SIP trunk options chapter. vendor. https://documentation.five9.com/bundle/technical-reqs/page/technical-reqs/SIP-trunk-options/_ch-five9-sip-trunk-options.htm. last checked 2026-10.</w:t>
      </w:r>
    </w:p>
    <w:p>
      <w:r>
        <w:t>RFC 3261. rfc. https://www.rfc-editor.org/rfc/rfc3261.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