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DNS, codecs, and the default voice</w:t>
      </w:r>
    </w:p>
    <w:p>
      <w:r>
        <w:t>The requirements prefer DNS SRV for the SIP targets. G.711 is the default codec, and the PDF describes it as uncompressed. Do not invent a packetization time. A 20 millisecond ptime shows up in practitioner notes about Cisco gateways. It is not a number this lab will attribute to the Five9 PDF.</w:t>
      </w:r>
    </w:p>
    <w:p>
      <w:r>
        <w:t>RFC 3261 is the SIP signaling baseline. RFC 4733 is the telephone-event way digits often ride once the call is up. DTMF design is a separate sentence from the codec.</w:t>
      </w:r>
    </w:p>
    <w:p>
      <w:r>
        <w:t>Prefer DNS SRV</w:t>
      </w:r>
    </w:p>
    <w:p>
      <w:r>
        <w:t>Keep G.711 as the default you can cite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4733. rfc. https://www.rfc-editor.org/rfc/rfc4733.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confirm. A 20 ms packet time is a practitioner note about Cisco gateways, not a figure quoted from the Five9 technical requirements in this lab. last checked 2026-10.</w:t>
      </w:r>
    </w:p>
  </w:body>
</w:document>
</file>