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Call variables are not history</w:t>
      </w:r>
    </w:p>
    <w:p>
      <w:r>
        <w:t>Call variables can be reported when two things are true: the user has permission to edit them, and the variable is enabled for reporting. The community article is explicit that they are not historical. Turn the flag on today and yesterday's calls stay empty.</w:t>
      </w:r>
    </w:p>
    <w:p>
      <w:r>
        <w:t>Apply to All Dispositions does not cover custom dispositions. If the variable should stick on a custom outcome, that disposition is a separate checkbox, not a wish.</w:t>
      </w:r>
    </w:p>
    <w:p>
      <w:r>
        <w:t>Enable reporting before you need the column</w:t>
      </w:r>
    </w:p>
    <w:p>
      <w:r>
        <w:t>Check custom dispositions one by one</w:t>
      </w:r>
    </w:p>
    <w:p>
      <w:r>
        <w:t>Sources and go deeper</w:t>
      </w:r>
    </w:p>
    <w:p>
      <w:r>
        <w:t>Call variables for reporting. community. https://community.five9.com/s/article/Administrator-Enabling-Call-Variables-for-Reporting?language=en_US. last checked 2026-10.</w:t>
      </w:r>
    </w:p>
    <w:p>
      <w:r>
        <w:t>Generating standard reports. community. https://community.five9.com/s/article/Reporting-I-Generating-Standard-Reports. last checked 2026-10.</w:t>
      </w:r>
    </w:p>
  </w:body>
</w:document>
</file>