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</w:t>
      </w:r>
    </w:p>
    <w:p>
      <w:r>
        <w:t>Reporting Web Services can move numbers out of the domain. Retention still applies to what Five9 keeps, not to the warehouse you built. Once a row is in your bucket, your policy owns it.</w:t>
      </w:r>
    </w:p>
    <w:p>
      <w:r>
        <w:t>Disabled domains, campaign state, agent data, and numbers have their own retention lines: agent data 60 days, campaign state 120 days, a disabled domain 120 days after closure, DIDs and toll-free numbers 90 days after closure. Do not design a 'temporary' domain and expect the DIDs to wait forever.</w:t>
      </w:r>
    </w:p>
    <w:p>
      <w:r>
        <w:t>Export before the clocks run out</w:t>
      </w:r>
    </w:p>
    <w:p>
      <w:r>
        <w:t>Keep DID retention separate from domain retention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