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address has to be the room they are in</w:t>
      </w:r>
    </w:p>
    <w:p>
      <w:r>
        <w:t>A dispatchable location is the place responders can find a person. A headquarters address while the agent is at home is the failure the EULA describes. Remote and hybrid floors have to register the location the agent is actually using.</w:t>
      </w:r>
    </w:p>
    <w:p>
      <w:r>
        <w:t>MyE911 call history, for an organization admin, shows time, user, number, location, recording, and the SIP invite. That is the audit after a test or a real call. It is not a substitute for registering the address first.</w:t>
      </w:r>
    </w:p>
    <w:p>
      <w:r>
        <w:t>Register where the agent is</w:t>
      </w:r>
    </w:p>
    <w:p>
      <w:r>
        <w:t>Use MyE911 history as the audit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MyE911 call history. community. https://community.five9.com/s/article/MyE911-Call-History?language=en_US.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