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Retention is several clocks</w:t>
      </w:r>
    </w:p>
    <w:p>
      <w:r>
        <w:t>The public retention page splits the clocks. VCC audio is the sooner of 30 days, a successful SFTP or FTP offload, or the contract. E911 recordings are 30 days. Agent data is 60 days. Campaign state is 120 days. A disabled domain is 120 days after closure. DIDs and toll-free numbers are 90 days after closure.</w:t>
      </w:r>
    </w:p>
    <w:p>
      <w:r>
        <w:t>Quote the line that matches the object. 'We keep everything 30 days' is already wrong.</w:t>
      </w:r>
    </w:p>
    <w:p>
      <w:r>
        <w:t>Quote the clock for the object</w:t>
      </w:r>
    </w:p>
    <w:p>
      <w:r>
        <w:t>Offload audio you must keep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</w:body>
</w:document>
</file>