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domain has neighbors</w:t>
      </w:r>
    </w:p>
    <w:p>
      <w:r>
        <w:t>A Five9 domain does not live alone. Voice arrives on a SIP story. Agents sit in a desktop. WEM or a partner workforce suite watches the roster. A CRM pops. GenAI Studio may draft a summary. E911 carries a location. Reports leave through a role and an API.</w:t>
      </w:r>
    </w:p>
    <w:p>
      <w:r>
        <w:t>The ecosystem page in this lab is a map of those neighbors with the same citations as the lessons. If a box has no link, it does not belong on the map.</w:t>
      </w:r>
    </w:p>
    <w:p>
      <w:r>
        <w:t>Name the neighbors</w:t>
      </w:r>
    </w:p>
    <w:p>
      <w:r>
        <w:t>Give each one its own failure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APIs and SDKs. vendor. https://www.five9.com/platform/integrations-and-ecosystem/apis-and-sdks. last checked 2026-10.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RFC 3261, SIP: Session Initiation Protocol. rfc. https://www.rfc-editor.org/rfc/rfc3261. last checked 2026-10.</w:t>
      </w:r>
    </w:p>
    <w:p>
      <w:r>
        <w:t>Enhanced 9-1-1. wikipedia. https://en.wikipedia.org/wiki/Enhanced_9-1-1. last checked 2026-10.</w:t>
      </w:r>
    </w:p>
  </w:body>
</w:document>
</file>