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Practice is the domain, not the badge</w:t>
      </w:r>
    </w:p>
    <w:p>
      <w:r>
        <w:t>The objects you must be able to touch are the ones in the planning topic and the IVR chapter: skill groups, users, lists, dispositions, profiles, campaigns, and modules. A certification that never had you start a stopped inbound campaign did not finish the job.</w:t>
      </w:r>
    </w:p>
    <w:p>
      <w:r>
        <w:t>Use this lab's lessons as the drill. Each one ends in a lab and a fault. The fault log is synthetic. The failure mode is the one the cited page describes.</w:t>
      </w:r>
    </w:p>
    <w:p>
      <w:r>
        <w:t>Practice the objects</w:t>
      </w:r>
    </w:p>
    <w:p>
      <w:r>
        <w:t>Treat invented codes as a negative signal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Administrator training classes. community. https://community.five9.com/s/article/Five9-University-Five9-Administrator-Training-Classes?language=en_US. last checked 2026-10.</w:t>
      </w:r>
    </w:p>
    <w:p>
      <w:r>
        <w:t>Interactive voice response. wikipedia. https://en.wikipedia.org/wiki/Interactive_voice_response. last checked 2026-10.</w:t>
      </w:r>
    </w:p>
  </w:body>
</w:document>
</file>