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Version timelines go stale on purpose</w:t>
      </w:r>
    </w:p>
    <w:p>
      <w:r>
        <w:t>Numbers you copy from a PDF are dates, not laws. The technical requirements this lab read named Salesforce managed package 2.46, ServiceNow releases Australia, Zurich, and Yokohama, JRE 8 updates 421, 451, and 461, and macOS 15 Sequoia, 26 Tahoe, and 27 Golden Gate. All of that is an October 2026 reading.</w:t>
      </w:r>
    </w:p>
    <w:p>
      <w:r>
        <w:t>A study plan that memorizes those numbers without a date will be wrong. Write 'as of' or do not write them.</w:t>
      </w:r>
    </w:p>
    <w:p>
      <w:r>
        <w:t>Date every version you copy</w:t>
      </w:r>
    </w:p>
    <w:p>
      <w:r>
        <w:t>Re-read the PDF before you freeze a standard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Salesforce 2.46, ServiceNow Australia/Zurich/Yokohama, JRE 8 updates 421/451/461, and macOS Sequoia 15, Tahoe 26, and Golden Gate 27 are from the technical requirements read in October 2026. last checked 2026-10.</w:t>
      </w:r>
    </w:p>
  </w:body>
</w:document>
</file>