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be</w:t>
      </w:r>
    </w:p>
    <w:p>
      <w:r>
        <w:t>Five9 Lab is an independent study floor. It is not Five9, not a partner portal, and not a place that can change your domain. The builder's JSON is not an import. The pacing chart is not the dialer. The 3D topology is a picture of failure, not a network map of your tenant.</w:t>
      </w:r>
    </w:p>
    <w:p>
      <w:r>
        <w:t>When a fact might have moved, the lesson says uncertain. Your next step is the linked page, then Five9 University if you want an official class. That is the whole honesty policy.</w:t>
      </w:r>
    </w:p>
    <w:p>
      <w:r>
        <w:t>Cite the vendor page</w:t>
      </w:r>
    </w:p>
    <w:p>
      <w:r>
        <w:t>Keep this lab in the study column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