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Outbound uses Skills. Inbound and autodial use Outbound Skills</w:t>
      </w:r>
    </w:p>
    <w:p>
      <w:r>
        <w:t>The chapter splits the tabs. Outbound campaigns route dialer calls by the skill groups on the Skills tab of the campaign properties. Inbound and autodial campaigns route to the skill groups listed on the Outbound Skills tab of the inbound campaign properties.</w:t>
      </w:r>
    </w:p>
    <w:p>
      <w:r>
        <w:t>The word outbound sits on an inbound campaign. That is the published name. Ready agents on the other tab are not the queue the page describes.</w:t>
      </w:r>
    </w:p>
    <w:p>
      <w:r>
        <w:t>Memorize the tab names</w:t>
      </w:r>
    </w:p>
    <w:p>
      <w:r>
        <w:t>Check the tab before the carrier</w:t>
      </w:r>
    </w:p>
    <w:p>
      <w:r>
        <w:t>Sources and go deeper</w:t>
      </w:r>
    </w:p>
    <w:p>
      <w:r>
        <w:t>Skill groups. vendor. https://documentation.five9.com/bundle/basic-admin/page/basic-admin/skill-groups/_ch-skill-groups.htm. last checked 2026-10.</w:t>
      </w:r>
    </w:p>
  </w:body>
</w:document>
</file>