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Salesforce and ServiceNow are names until the admin page opens</w:t>
      </w:r>
    </w:p>
    <w:p>
      <w:r>
        <w:t>Salesforce and ServiceNow are on the API list, the desktop line, and the quality list. ServiceNow is also on the WFM CRM card with Oracle. That is what this chapter can say about them.</w:t>
      </w:r>
    </w:p>
    <w:p>
      <w:r>
        <w:t>The ServiceNow admin guide, the Salesforce install guide, and the community feature article did not return a feature body in this check. Workspace names, Lightning CTI editions, screen pop, click-to-dial, and campaign sync are confirm. Describe them only after you read the page.</w:t>
      </w:r>
    </w:p>
    <w:p>
      <w:r>
        <w:t>Stop at the published name</w:t>
      </w:r>
    </w:p>
    <w:p>
      <w:r>
        <w:t>Mark unread admin pages confirm</w:t>
      </w:r>
    </w:p>
    <w:p>
      <w:r>
        <w:t>Sources and go deeper</w:t>
      </w:r>
    </w:p>
    <w:p>
      <w:r>
        <w:t>APIs and SDKs. vendor. https://www.five9.com/platform/integrations-and-ecosystem/apis-and-sdks.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confirm. ServiceNow workspace names, Salesforce Lightning editions, screen pop, and click-to-dial did not return a body in this check. last checked 2026-10.</w:t>
      </w:r>
    </w:p>
  </w:body>
</w:document>
</file>