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a contract with the page</w:t>
      </w:r>
    </w:p>
    <w:p>
      <w:r>
        <w:t>A glossary row in this lab is a term, a meaning, and the page that printed the meaning. Domain, skill group, campaign, and the rest already follow that rule. A new word with no page does not get a row.</w:t>
      </w:r>
    </w:p>
    <w:p>
      <w:r>
        <w:t>ACD is allowed because the Wikipedia article defines it. Skill group is allowed because the Five9 chapter defines it. A private acronym from a slide is not allowed until a public page says it.</w:t>
      </w:r>
    </w:p>
    <w:p>
      <w:r>
        <w:t>Keep the page on the row</w:t>
      </w:r>
    </w:p>
    <w:p>
      <w:r>
        <w:t>Reject words that have no page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