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mind map only holds boxes you can cite</w:t>
      </w:r>
    </w:p>
    <w:p>
      <w:r>
        <w:t>A mind map of this floor can hold a domain, skill groups, the agent desktop, WFM, quality, and the API list, because each of those has a page this lab read. The lines between them are teaching lines. A line is not a protocol.</w:t>
      </w:r>
    </w:p>
    <w:p>
      <w:r>
        <w:t>The map fails when a box is a rumor. An unread admin dialog, an unreadable analytics PDF, and a marketplace this lab did not recount do not become boxes. They become a gap at the edge.</w:t>
      </w:r>
    </w:p>
    <w:p>
      <w:r>
        <w:t>Draw only cited boxes</w:t>
      </w:r>
    </w:p>
    <w:p>
      <w:r>
        <w:t>Put unread pages on the edge as gaps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APIs and SDKs. vendor. https://www.five9.com/platform/integrations-and-ecosystem/apis-and-sdks. last checked 2026-10.</w:t>
      </w:r>
    </w:p>
  </w:body>
</w:document>
</file>