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domain is the tenant · Quiz</w:t>
      </w:r>
    </w:p>
    <w:p>
      <w:r>
        <w:t>Can campaign A in domain East use a list from domain West?</w:t>
      </w:r>
    </w:p>
    <w:p>
      <w:r>
        <w:t>What replaces a CUCM partition in this lab's map?</w:t>
      </w:r>
    </w:p>
    <w:p>
      <w:r>
        <w:t>Who can sit in a skill group?</w:t>
      </w:r>
    </w:p>
    <w:p>
      <w:r>
        <w:t>A user can be in how many skill groups?</w:t>
      </w:r>
    </w:p>
    <w:p>
      <w:r>
        <w:t>A campaign can have how many skill groups?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This lesson's CUCM comparison is a teaching map. Five9 does not publish it as a migration product. last checked 2026-10.</w:t>
      </w:r>
    </w:p>
  </w:body>
</w:document>
</file>