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groups are the queues · Worked example</w:t>
      </w:r>
    </w:p>
    <w:p>
      <w:r>
        <w:t>For one inbound and one outbound campaign, write the tab you would open.</w:t>
      </w:r>
    </w:p>
    <w:p>
      <w:r>
        <w:t>Inbound: Outbound Skills</w:t>
      </w:r>
    </w:p>
    <w:p>
      <w:r>
        <w:t>Outbound: Skills</w:t>
      </w:r>
    </w:p>
    <w:p>
      <w:r>
        <w:t>Add the same agent to both groups</w:t>
      </w:r>
    </w:p>
    <w:p>
      <w:r>
        <w:t>You did not hunt for a tab called Inbound Skills.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