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 · Learn it in 5 minutes</w:t>
      </w:r>
    </w:p>
    <w:p>
      <w:r>
        <w:t>The inbound and autodial roadmaps tell you to define and record prompts before you build the IVR. A Play or Menu module can only speak what the prompt library already holds, or what a text-to-speech entry supplies in that module.</w:t>
      </w:r>
    </w:p>
    <w:p>
      <w:r>
        <w:t>Skill groups have their own audio: voicemail greetings and other skill audio. A campaign prompt and a skill greeting are different objects. Replacing one does not replace the other.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