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A DNIS answers only while the campaign runs · Sources and go deeper</w:t>
      </w:r>
    </w:p>
    <w:p>
      <w:r>
        <w:t>Sources and go deeper</w:t>
      </w:r>
    </w:p>
    <w:p>
      <w:r>
        <w:t>Inbound campaigns. vendor. https://documentation.five9.com/bundle/campaign-admin/page/campaign-admin/creating-campaigns/types-of-campaigns/inbound-campaigns.htm. last checked 2026-10.</w:t>
      </w:r>
    </w:p>
    <w:p>
      <w:r>
        <w:t>ITU-T E.164, international public telecommunication numbering. standard. https://www.itu.int/rec/T-REC-E.164. last checked 2026-10.</w:t>
      </w:r>
    </w:p>
    <w:p>
      <w:r>
        <w:t>Interactive voice response. wikipedia. https://en.wikipedia.org/wiki/Interactive_voice_response. last checked 2026-10.</w:t>
      </w:r>
    </w:p>
  </w:body>
</w:document>
</file>