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Time zone and call analysis are guarded defaults · Ecosystem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confirm. The exact hour-by-hour time zone matrix is in the campaign guide and was not copied here. Local telemarketing law is not Five9's default screen. last checked 2026-10.</w:t>
      </w:r>
    </w:p>
  </w:body>
</w:document>
</file>