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Time zone and call analysis are guarded defaults · Worked example</w:t>
      </w:r>
    </w:p>
    <w:p>
      <w:r>
        <w:t>Open the default-settings section in your own guide and write down the warning text you see.</w:t>
      </w:r>
    </w:p>
    <w:p>
      <w:r>
        <w:t>Find Max Abandoned Call Percentage</w:t>
      </w:r>
    </w:p>
    <w:p>
      <w:r>
        <w:t>Do not change it in production</w:t>
      </w:r>
    </w:p>
    <w:p>
      <w:r>
        <w:t>Note US or UK</w:t>
      </w:r>
    </w:p>
    <w:p>
      <w:r>
        <w:t>You left the live value alone.</w:t>
      </w:r>
    </w:p>
    <w:p>
      <w:r>
        <w:t>Sources and go deeper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confirm. The exact hour-by-hour time zone matrix is in the campaign guide and was not copied here. Local telemarketing law is not Five9's default screen. last checked 2026-10.</w:t>
      </w:r>
    </w:p>
  </w:body>
</w:document>
</file>