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Time zone and call analysis are guarded defaults · Sources and go deeper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confirm. The exact hour-by-hour time zone matrix is in the campaign guide and was not copied here. Local telemarketing law is not Five9's default screen. last checked 2026-10.</w:t>
      </w:r>
    </w:p>
  </w:body>
</w:document>
</file>