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Local caller ID is a profile choice · Learn it in 5 minutes</w:t>
      </w:r>
    </w:p>
    <w:p>
      <w:r>
        <w:t>The outbound product page lists local caller ID as a business-efficiency tool, and campaign profiles are the documented place to override the default ANI. Showing a local number is a profile and number-plan problem, not a skill-group problem.</w:t>
      </w:r>
    </w:p>
    <w:p>
      <w:r>
        <w:t>Certified Caller, on its own page, is the STIR/SHAKEN story. A local ANI does not by itself mean the call is signed. Keep those projects separate.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Campaign profiles. vendor. https://documentation.five9.com/bundle/basic-admin/page/basic-admin/campaign-profiles/_ch-campaign-profiles.htm. last checked 2026-10.</w:t>
      </w:r>
    </w:p>
    <w:p>
      <w:r>
        <w:t>Certified Caller. vendor. https://www.five9.com/resources/five9_certified_caller. last checked 2026-10.</w:t>
      </w:r>
    </w:p>
    <w:p>
      <w:r>
        <w:t>Call log filters. community. https://community.five9.com/s/article/Reporting-Apply-Filter-s-in-the-Call-Log-Report.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