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The defaults are the compliance posture · Worked example</w:t>
      </w:r>
    </w:p>
    <w:p>
      <w:r>
        <w:t>In a lab domain, start to change the max and read the dialog. Cancel.</w:t>
      </w:r>
    </w:p>
    <w:p>
      <w:r>
        <w:t>Open dialing options</w:t>
      </w:r>
    </w:p>
    <w:p>
      <w:r>
        <w:t>Invoke the warning</w:t>
      </w:r>
    </w:p>
    <w:p>
      <w:r>
        <w:t>Cancel</w:t>
      </w:r>
    </w:p>
    <w:p>
      <w:r>
        <w:t>Production is unchanged.</w:t>
      </w:r>
    </w:p>
    <w:p>
      <w:r>
        <w:t>Sources and go deeper</w:t>
      </w:r>
    </w:p>
    <w:p>
      <w:r>
        <w:t>Default campaign settings. vendor. https://documentation.five9.com/bundle/campaign-admin/page/campaign-admin/configuring-campaigns/configuring-dialing-modes/default-campaign-settings.htm. last checked 2026-10.</w:t>
      </w:r>
    </w:p>
  </w:body>
</w:document>
</file>