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Priority and ratio are campaign settings · Worked example</w:t>
      </w:r>
    </w:p>
    <w:p>
      <w:r>
        <w:t>Who may steal, who is dedicated, which mode the shared pod uses.</w:t>
      </w:r>
    </w:p>
    <w:p>
      <w:r>
        <w:t>Shared pod is progressive</w:t>
      </w:r>
    </w:p>
    <w:p>
      <w:r>
        <w:t>Predictive pod is dedicated</w:t>
      </w:r>
    </w:p>
    <w:p>
      <w:r>
        <w:t>Inbound may interrupt only the shared pod</w:t>
      </w:r>
    </w:p>
    <w:p>
      <w:r>
        <w:t>A stranger could staff from the note.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The numeric behavior of campaign priority and ratio settings is in a guide topic this lab did not quote. Do not copy a ratio from the simulator into that dialog. last checked 2026-10.</w:t>
      </w:r>
    </w:p>
  </w:body>
</w:document>
</file>