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If/Else is two ways. Case is more · Worked example</w:t>
      </w:r>
    </w:p>
    <w:p>
      <w:r>
        <w:t>Replace three nested If/Else blocks with one Case in the builder.</w:t>
      </w:r>
    </w:p>
    <w:p>
      <w:r>
        <w:t>Add Case</w:t>
      </w:r>
    </w:p>
    <w:p>
      <w:r>
        <w:t>Name three labels</w:t>
      </w:r>
    </w:p>
    <w:p>
      <w:r>
        <w:t>Delete the nest</w:t>
      </w:r>
    </w:p>
    <w:p>
      <w:r>
        <w:t>One block, three labels.</w:t>
      </w:r>
    </w:p>
    <w:p>
      <w:r>
        <w:t>Sources and go deeper</w:t>
      </w:r>
    </w:p>
    <w:p>
      <w:r>
        <w:t>If/Else module. vendor. https://documentation.five9.com/bundle/ivr-admin/page/ivr-admin/modules/ifelse-module.htm.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