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IVA, foreign scripts, DNC, and leaving the platform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Public pages describe IVA Transfer and a digital ChatBot integration separately. This lab does not claim they share one property sheet. last checked 2026-10.</w:t>
      </w:r>
    </w:p>
  </w:body>
</w:document>
</file>