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IVA, foreign scripts, DNC, and leaving the platform · Worked example</w:t>
      </w:r>
    </w:p>
    <w:p>
      <w:r>
        <w:t>On a sketch, name the module for each arrow.</w:t>
      </w:r>
    </w:p>
    <w:p>
      <w:r>
        <w:t>Bot</w:t>
      </w:r>
    </w:p>
    <w:p>
      <w:r>
        <w:t>Other script</w:t>
      </w:r>
    </w:p>
    <w:p>
      <w:r>
        <w:t>Opt out</w:t>
      </w:r>
    </w:p>
    <w:p>
      <w:r>
        <w:t>Outside number</w:t>
      </w:r>
    </w:p>
    <w:p>
      <w:r>
        <w:t>Language</w:t>
      </w:r>
    </w:p>
    <w:p>
      <w:r>
        <w:t>No arrow says 'stuff'.</w:t>
      </w:r>
    </w:p>
    <w:p>
      <w:r>
        <w:t>Sources and go deeper</w:t>
      </w:r>
    </w:p>
    <w:p>
      <w:r>
        <w:t>IVR modules. vendor. https://documentation.five9.com/bundle/ivr-admin/page/ivr-admin/modules/_ch-modules.htm. last checked 2026-10.</w:t>
      </w:r>
    </w:p>
    <w:p>
      <w:r>
        <w:t>Studio digital IVA with VCC. community. https://community.five9.com/s/article/Studio-7-Integrate-Digital-IVA-in-Studio-with-VCC?language=en_US.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Public pages describe IVA Transfer and a digital ChatBot integration separately. This lab does not claim they share one property sheet. last checked 2026-10.</w:t>
      </w:r>
    </w:p>
  </w:body>
</w:document>
</file>