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IVA, foreign scripts, DNC, and leaving the platform · Quiz</w:t>
      </w:r>
    </w:p>
    <w:p>
      <w:r>
        <w:t>A second script is called with</w:t>
      </w:r>
    </w:p>
    <w:p>
      <w:r>
        <w:t>Removal from calling uses</w:t>
      </w:r>
    </w:p>
    <w:p>
      <w:r>
        <w:t>Digital IVA setup in the 2026 article needs</w:t>
      </w:r>
    </w:p>
    <w:p>
      <w:r>
        <w:t>That digital article is automatically the voice IVA Transfer screen. True or false?</w:t>
      </w:r>
    </w:p>
    <w:p>
      <w:r>
        <w:t>Third Party Transfer keeps the call on your skill. True or false?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Public pages describe IVA Transfer and a digital ChatBot integration separately. This lab does not claim they share one property sheet. last checked 2026-10.</w:t>
      </w:r>
    </w:p>
  </w:body>
</w:document>
</file>