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Transcription and assist are features you turn on · Worked example</w:t>
      </w:r>
    </w:p>
    <w:p>
      <w:r>
        <w:t>Draft a design line that does not name a model.</w:t>
      </w:r>
    </w:p>
    <w:p>
      <w:r>
        <w:t>Say Assist is on the desktop</w:t>
      </w:r>
    </w:p>
    <w:p>
      <w:r>
        <w:t>Say the model is whatever Studio is set to</w:t>
      </w:r>
    </w:p>
    <w:p>
      <w:r>
        <w:t>Refuse a fake default</w:t>
      </w:r>
    </w:p>
    <w:p>
      <w:r>
        <w:t>The sentence has no invented model.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confirm. GenAI Studio is described as engine-agnostic. This lab does not name the default model for a new domain. last checked 2026-10.</w:t>
      </w:r>
    </w:p>
  </w:body>
</w:document>
</file>