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Transcription and assist are features you turn on · Learn it in 5 minutes</w:t>
      </w:r>
    </w:p>
    <w:p>
      <w:r>
        <w:t>The Engage page describes transcription, sentiment language, and Agent Assist suggestions on the desktop. GenAI Studio's page says it powers Five9 AI applications and initially focuses on Agent Assist summaries, with control over the output.</w:t>
      </w:r>
    </w:p>
    <w:p>
      <w:r>
        <w:t>None of those pages name a single model you can assume is the default in every domain. If a design says 'it uses model X,' mark that sentence uncertain until the domain's GenAI Studio screen says it.</w:t>
      </w:r>
    </w:p>
    <w:p>
      <w:r>
        <w:t>Sources and go deeper</w:t>
      </w:r>
    </w:p>
    <w:p>
      <w:r>
        <w:t>Five9 Engage. vendor. https://www.five9.com/platform/self-service-and-engagement.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body>
</w:document>
</file>