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Transcription and assist are features you turn on · Quiz</w:t>
      </w:r>
    </w:p>
    <w:p>
      <w:r>
        <w:t>Agent Assist is named on</w:t>
      </w:r>
    </w:p>
    <w:p>
      <w:r>
        <w:t>GenAI Studio's initial focus, on its page, includes</w:t>
      </w:r>
    </w:p>
    <w:p>
      <w:r>
        <w:t>The model name in this lab is</w:t>
      </w:r>
    </w:p>
    <w:p>
      <w:r>
        <w:t>Transcription without a readable screen</w:t>
      </w:r>
    </w:p>
    <w:p>
      <w:r>
        <w:t>Output control is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confirm. GenAI Studio is described as engine-agnostic. This lab does not name the default model for a new domain. last checked 2026-10.</w:t>
      </w:r>
    </w:p>
  </w:body>
</w:document>
</file>