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Transcription and assist are features you turn on · Sources and go deeper</w:t>
      </w:r>
    </w:p>
    <w:p>
      <w:r>
        <w:t>Sources and go deeper</w:t>
      </w:r>
    </w:p>
    <w:p>
      <w:r>
        <w:t>Five9 Engage. vendor. https://www.five9.com/platform/self-service-and-engagement. last checked 2026-10.</w:t>
      </w:r>
    </w:p>
    <w:p>
      <w:r>
        <w:t>GenAI Studio. vendor. https://www.five9.com/products/capabilities/gen-ai-studio. last checked 2026-10.</w:t>
      </w:r>
    </w:p>
    <w:p>
      <w:r>
        <w:t>confirm. GenAI Studio is described as engine-agnostic. This lab does not name the default model for a new domain. last checked 2026-10.</w:t>
      </w:r>
    </w:p>
  </w:body>
</w:document>
</file>