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Recordings expire · Worked example</w:t>
      </w:r>
    </w:p>
    <w:p>
      <w:r>
        <w:t>For one complaint you may need in 45 days, say where the file must be.</w:t>
      </w:r>
    </w:p>
    <w:p>
      <w:r>
        <w:t>Not only in VCC</w:t>
      </w:r>
    </w:p>
    <w:p>
      <w:r>
        <w:t>On the offload</w:t>
      </w:r>
    </w:p>
    <w:p>
      <w:r>
        <w:t>Checked for success</w:t>
      </w:r>
    </w:p>
    <w:p>
      <w:r>
        <w:t>The plan does not say 'it will still be there'.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Enhanced 9-1-1. wikipedia. https://en.wikipedia.org/wiki/Enhanced_9-1-1. last checked 2026-10.</w:t>
      </w:r>
    </w:p>
    <w:p>
      <w:r>
        <w:t>confirm. Contracts can override the published table. Read the agreement for the domain you are in. last checked 2026-10.</w:t>
      </w:r>
    </w:p>
  </w:body>
</w:document>
</file>