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this lab will not pretend to run · Worked example</w:t>
      </w:r>
    </w:p>
    <w:p>
      <w:r>
        <w:t>For schedule, mode, and recording, name the system of record.</w:t>
      </w:r>
    </w:p>
    <w:p>
      <w:r>
        <w:t>WEM suite</w:t>
      </w:r>
    </w:p>
    <w:p>
      <w:r>
        <w:t>Campaign dialog</w:t>
      </w:r>
    </w:p>
    <w:p>
      <w:r>
        <w:t>Offload</w:t>
      </w:r>
    </w:p>
    <w:p>
      <w:r>
        <w:t>None of the three is this website.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Data retention. vendor. https://www.five9.com/legal/dataretention. last checked 2026-10.</w:t>
      </w:r>
    </w:p>
    <w:p>
      <w:r>
        <w:t>Agent Desktop. vendor. https://www.five9.com/products/capabilities/agent-desktop. last checked 2026-10.</w:t>
      </w:r>
    </w:p>
  </w:body>
</w:document>
</file>