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run · Learn it in 5 minutes</w:t>
      </w:r>
    </w:p>
    <w:p>
      <w:r>
        <w:t>This lab has no live WEM tenant. You cannot approve a real time-off request here. You can say which product page promised the button, which retention clock will delete the evidence, and which dialer mistake a bad roster causes.</w:t>
      </w:r>
    </w:p>
    <w:p>
      <w:r>
        <w:t>That is the useful line between a simulator and a system of record. The pacing bench is a classroom. The schedule in the customer's suite is the roster. The campaign dialog is the mode.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Data retention. vendor. https://www.five9.com/legal/dataretention. last checked 2026-10.</w:t>
      </w:r>
    </w:p>
    <w:p>
      <w:r>
        <w:t>Agent Desktop. vendor. https://www.five9.com/products/capabilities/agent-desktop. last checked 2026-10.</w:t>
      </w:r>
    </w:p>
  </w:body>
</w:document>
</file>