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Studio has regions · Quiz</w:t>
      </w:r>
    </w:p>
    <w:p>
      <w:r>
        <w:t>A US Studio task belongs on</w:t>
      </w:r>
    </w:p>
    <w:p>
      <w:r>
        <w:t>Old inferencecommunications.com hosts are</w:t>
      </w:r>
    </w:p>
    <w:p>
      <w:r>
        <w:t>DNS SRV is</w:t>
      </w:r>
    </w:p>
    <w:p>
      <w:r>
        <w:t>Studio SIP ports in the PDF apply automatically to every VCC trunk. True or false?</w:t>
      </w:r>
    </w:p>
    <w:p>
      <w:r>
        <w:t>Pinning one IP forever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signaling ports in the PDF are easy to misread as universal VCC trunk ports. Confirm which SBC your domain uses. last checked 2026-10.</w:t>
      </w:r>
    </w:p>
  </w:body>
</w:document>
</file>