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task key is not a vibe · Learn it in 5 minutes</w:t>
      </w:r>
    </w:p>
    <w:p>
      <w:r>
        <w:t>IVA Transfer is a module. It needs a task to transfer to. The digital integration article, dated in the community as 26 March 2026, says you copy a ChatBot task key into the VCC IVA transfer side after the Studio task exists.</w:t>
      </w:r>
    </w:p>
    <w:p>
      <w:r>
        <w:t>Voice and digital write-ups are separate. Use the article that matches the channel. A key with no Build permission, in that digital article, is not enough: the key is created with Build selected.</w:t>
      </w:r>
    </w:p>
    <w:p>
      <w:r>
        <w:t>Sources and go deeper</w:t>
      </w:r>
    </w:p>
    <w:p>
      <w:r>
        <w:t>Studio digital IVA with VCC. community. https://community.five9.com/s/article/Studio-7-Integrate-Digital-IVA-in-Studio-with-VCC?language=en_US.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Voice IVA Transfer property names are not copied key-for-key from the digital article. last checked 2026-10.</w:t>
      </w:r>
    </w:p>
  </w:body>
</w:document>
</file>