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task key is not a vibe · Quiz</w:t>
      </w:r>
    </w:p>
    <w:p>
      <w:r>
        <w:t>The March 2026 article requires which permission on the API key?</w:t>
      </w:r>
    </w:p>
    <w:p>
      <w:r>
        <w:t>The task type in that article is</w:t>
      </w:r>
    </w:p>
    <w:p>
      <w:r>
        <w:t>The task key goes</w:t>
      </w:r>
    </w:p>
    <w:p>
      <w:r>
        <w:t>A voice IVA design can ignore that article. True or false?</w:t>
      </w:r>
    </w:p>
    <w:p>
      <w:r>
        <w:t>IVA Transfer without a task</w:t>
      </w:r>
    </w:p>
    <w:p>
      <w:r>
        <w:t>Sources and go deeper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Voice IVA Transfer property names are not copied key-for-key from the digital article. last checked 2026-10.</w:t>
      </w:r>
    </w:p>
  </w:body>
</w:document>
</file>