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Contain, or hand back with context · Worked example</w:t>
      </w:r>
    </w:p>
    <w:p>
      <w:r>
        <w:t>Contained, and returned to Billing with a reason variable.</w:t>
      </w:r>
    </w:p>
    <w:p>
      <w:r>
        <w:t>Name the variable</w:t>
      </w:r>
    </w:p>
    <w:p>
      <w:r>
        <w:t>Name the skill</w:t>
      </w:r>
    </w:p>
    <w:p>
      <w:r>
        <w:t>Say what Default would mean</w:t>
      </w:r>
    </w:p>
    <w:p>
      <w:r>
        <w:t>Both endings are real modules.</w:t>
      </w:r>
    </w:p>
    <w:p>
      <w:r>
        <w:t>Sources and go deeper</w:t>
      </w:r>
    </w:p>
    <w:p>
      <w:r>
        <w:t>Five9 Engage. vendor. https://www.five9.com/platform/self-service-and-engagement.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Call variables for reporting. community. https://community.five9.com/s/article/Administrator-Enabling-Call-Variables-for-Reporting?language=en_US. last checked 2026-10.</w:t>
      </w:r>
    </w:p>
    <w:p>
      <w:r>
        <w:t>Interactive voice response. wikipedia. https://en.wikipedia.org/wiki/Interactive_voice_response. last checked 2026-10.</w:t>
      </w:r>
    </w:p>
  </w:body>
</w:document>
</file>