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 bot review you can finish · Learn it in 5 minutes</w:t>
      </w:r>
    </w:p>
    <w:p>
      <w:r>
        <w:t>Region, key permission, task type, failure branch, named skill, variable the agent sees, prompt test, and the recording clock. Eight checks. Each one has a page. A bot project that cannot pass them is a slide.</w:t>
      </w:r>
    </w:p>
    <w:p>
      <w:r>
        <w:t>The pacing bench and the IVR builder can illustrate the return path. They do not host Studio.</w:t>
      </w:r>
    </w:p>
    <w:p>
      <w:r>
        <w:t>Sources and go deeper</w:t>
      </w:r>
    </w:p>
    <w:p>
      <w:r>
        <w:t>Studio digital IVA with VCC. community. https://community.five9.com/s/article/Studio-7-Integrate-Digital-IVA-in-Studio-with-VCC?language=en_US. last checked 2026-10.</w:t>
      </w:r>
    </w:p>
    <w:p>
      <w:r>
        <w:t>GenAI Studio. vendor. https://www.five9.com/products/capabilities/gen-ai-studio.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Data retention. vendor. https://www.five9.com/legal/dataretention. last checked 2026-10.</w:t>
      </w:r>
    </w:p>
    <w:p>
      <w:r>
        <w:t>Interactive voice response. wikipedia. https://en.wikipedia.org/wiki/Interactive_voice_response. last checked 2026-10.</w:t>
      </w:r>
    </w:p>
  </w:body>
</w:document>
</file>