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DNS, codecs, and the default voice · Worked example</w:t>
      </w:r>
    </w:p>
    <w:p>
      <w:r>
        <w:t>Write the PDF facts and the practitioner note on two lines.</w:t>
      </w:r>
    </w:p>
    <w:p>
      <w:r>
        <w:t>SRV and G.711</w:t>
      </w:r>
    </w:p>
    <w:p>
      <w:r>
        <w:t>ptime as uncertain</w:t>
      </w:r>
    </w:p>
    <w:p>
      <w:r>
        <w:t>RFC 4733 if DTMF matters</w:t>
      </w:r>
    </w:p>
    <w:p>
      <w:r>
        <w:t>A reader can see which line is official.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RFC 3261. rfc. https://www.rfc-editor.org/rfc/rfc3261. last checked 2026-10.</w:t>
      </w:r>
    </w:p>
    <w:p>
      <w:r>
        <w:t>RFC 4733. rfc. https://www.rfc-editor.org/rfc/rfc4733.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1035, domain names. rfc. https://www.rfc-editor.org/rfc/rfc1035. last checked 2026-10.</w:t>
      </w:r>
    </w:p>
    <w:p>
      <w:r>
        <w:t>RFC 2782, DNS SRV. rfc. https://www.rfc-editor.org/rfc/rfc2782. last checked 2026-10.</w:t>
      </w:r>
    </w:p>
    <w:p>
      <w:r>
        <w:t>confirm. A 20 ms packet time is a practitioner note about Cisco gateways, not a figure quoted from the Five9 technical requirements in this lab. last checked 2026-10.</w:t>
      </w:r>
    </w:p>
  </w:body>
</w:document>
</file>