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DNS, codecs, and the default voice · Sources and go deeper</w:t>
      </w:r>
    </w:p>
    <w:p>
      <w:r>
        <w:t>Sources and go deeper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SIP trunk options chapter. vendor. https://documentation.five9.com/bundle/technical-reqs/page/technical-reqs/SIP-trunk-options/_ch-five9-sip-trunk-options.htm. last checked 2026-10.</w:t>
      </w:r>
    </w:p>
    <w:p>
      <w:r>
        <w:t>RFC 3261. rfc. https://www.rfc-editor.org/rfc/rfc3261. last checked 2026-10.</w:t>
      </w:r>
    </w:p>
    <w:p>
      <w:r>
        <w:t>RFC 4733. rfc. https://www.rfc-editor.org/rfc/rfc4733. last checked 2026-10.</w:t>
      </w:r>
    </w:p>
    <w:p>
      <w:r>
        <w:t>RFC 3550, RTP. rfc. https://www.rfc-editor.org/rfc/rfc3550. last checked 2026-10.</w:t>
      </w:r>
    </w:p>
    <w:p>
      <w:r>
        <w:t>RFC 3551, RTP profile for audio and video. rfc. https://www.rfc-editor.org/rfc/rfc3551. last checked 2026-10.</w:t>
      </w:r>
    </w:p>
    <w:p>
      <w:r>
        <w:t>ITU-T G.711. standard. https://www.itu.int/rec/T-REC-G.711. last checked 2026-10.</w:t>
      </w:r>
    </w:p>
    <w:p>
      <w:r>
        <w:t>RFC 1035, domain names. rfc. https://www.rfc-editor.org/rfc/rfc1035. last checked 2026-10.</w:t>
      </w:r>
    </w:p>
    <w:p>
      <w:r>
        <w:t>RFC 2782, DNS SRV. rfc. https://www.rfc-editor.org/rfc/rfc2782. last checked 2026-10.</w:t>
      </w:r>
    </w:p>
    <w:p>
      <w:r>
        <w:t>confirm. A 20 ms packet time is a practitioner note about Cisco gateways, not a figure quoted from the Five9 technical requirements in this lab. last checked 2026-10.</w:t>
      </w:r>
    </w:p>
  </w:body>
</w:document>
</file>