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NAT, idle timers, and split tunnels · Learn it in 5 minutes</w:t>
      </w:r>
    </w:p>
    <w:p>
      <w:r>
        <w:t>NAT and PAT are acceptable. Double NAT is not. UDP bindings that idle out cause one-way audio. The requirements use a 30 second UDP idle timeout as the planning number, and they tell you to send keepalives when the binding is shorter.</w:t>
      </w:r>
    </w:p>
    <w:p>
      <w:r>
        <w:t>On a VPN, translate RFC 1918 space to a public address the far side can route. Do not exclude Five9 domains from a split tunnel and then wonder why signaling dies. Do not restrict SIP or RTP between sites.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1918. rfc. https://www.rfc-editor.org/rfc/rfc1918.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768, User Datagram Protocol. rfc. https://www.rfc-editor.org/rfc/rfc768. last checked 2026-10.</w:t>
      </w:r>
    </w:p>
    <w:p>
      <w:r>
        <w:t>RFC 4787, NAT behavior for UDP. rfc. https://www.rfc-editor.org/rfc/rfc4787. last checked 2026-10.</w:t>
      </w:r>
    </w:p>
  </w:body>
</w:document>
</file>