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t>NAT, idle timers, and split tunnels · Quiz</w:t>
      </w:r>
    </w:p>
    <w:p>
      <w:r>
        <w:t>Double NAT is</w:t>
      </w:r>
    </w:p>
    <w:p>
      <w:r>
        <w:t>UDP idle planning number is</w:t>
      </w:r>
    </w:p>
    <w:p>
      <w:r>
        <w:t>A shorter binding needs</w:t>
      </w:r>
    </w:p>
    <w:p>
      <w:r>
        <w:t>Split tunnel advice is</w:t>
      </w:r>
    </w:p>
    <w:p>
      <w:r>
        <w:t>RFC 1918 addresses on a VPN should be</w:t>
      </w:r>
    </w:p>
    <w:p>
      <w:r>
        <w:t>Sources and go deeper</w:t>
      </w:r>
    </w:p>
    <w:p>
      <w:r>
        <w:t>Technical requirements PDF. vendor. https://documentation-be.five9.com/bundle/five9-technical-requirements/raw/resource/enus/five9-technical-requirements.pdf. last checked 2026-10.</w:t>
      </w:r>
    </w:p>
    <w:p>
      <w:r>
        <w:t>RFC 1918. rfc. https://www.rfc-editor.org/rfc/rfc1918. last checked 2026-10.</w:t>
      </w:r>
    </w:p>
    <w:p>
      <w:r>
        <w:t>RFC 3261. rfc. https://www.rfc-editor.org/rfc/rfc3261. last checked 2026-10.</w:t>
      </w:r>
    </w:p>
    <w:p>
      <w:r>
        <w:t>RFC 3550, RTP. rfc. https://www.rfc-editor.org/rfc/rfc3550. last checked 2026-10.</w:t>
      </w:r>
    </w:p>
    <w:p>
      <w:r>
        <w:t>RFC 3551, RTP profile for audio and video. rfc. https://www.rfc-editor.org/rfc/rfc3551. last checked 2026-10.</w:t>
      </w:r>
    </w:p>
    <w:p>
      <w:r>
        <w:t>ITU-T G.711. standard. https://www.itu.int/rec/T-REC-G.711. last checked 2026-10.</w:t>
      </w:r>
    </w:p>
    <w:p>
      <w:r>
        <w:t>RFC 768, User Datagram Protocol. rfc. https://www.rfc-editor.org/rfc/rfc768. last checked 2026-10.</w:t>
      </w:r>
    </w:p>
    <w:p>
      <w:r>
        <w:t>RFC 4787, NAT behavior for UDP. rfc. https://www.rfc-editor.org/rfc/rfc4787. last checked 2026-10.</w:t>
      </w:r>
    </w:p>
  </w:body>
</w:document>
</file>